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vs4zfbsiei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Post-Treatment Care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evwqq4cv4a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Today’s Treatment Area: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kvqbnjyhj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Normal Temporary Responses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Mild redness</w:t>
        <w:br w:type="textWrapping"/>
        <w:t xml:space="preserve"> ✅ Warmth</w:t>
        <w:br w:type="textWrapping"/>
        <w:t xml:space="preserve"> ✅ Mild swelling</w:t>
        <w:br w:type="textWrapping"/>
        <w:t xml:space="preserve"> ✅ Sensitivity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okvzonlcde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 the Next 24–48 Hours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Avoid heat (hot tubs, saunas, intense exercise if advised)</w:t>
        <w:br w:type="textWrapping"/>
        <w:t xml:space="preserve"> ☐ Avoid sun exposure</w:t>
        <w:br w:type="textWrapping"/>
        <w:t xml:space="preserve"> ☐ Use gentle skincare</w:t>
        <w:br w:type="textWrapping"/>
        <w:t xml:space="preserve"> ☐ Keep area clean and moisturized if instructed</w:t>
        <w:br w:type="textWrapping"/>
        <w:t xml:space="preserve"> ☐ Do not pick or scratch treated skin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wz0wjirq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Wear SPF daily</w:t>
        <w:br w:type="textWrapping"/>
        <w:t xml:space="preserve"> ☐ Follow provider instructions</w:t>
        <w:br w:type="textWrapping"/>
        <w:t xml:space="preserve"> ☐ Contact clinic with blistering, severe pain, or concerns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n2mzgc4yd9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Next Appointment / Follow-Up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