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7sg7qns8nx63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Pigment vs Melasma Guide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59.2539601430763"/>
        <w:gridCol w:w="2128.3597342871744"/>
        <w:gridCol w:w="1468.3290751149718"/>
        <w:gridCol w:w="3104.0572304547777"/>
        <w:tblGridChange w:id="0">
          <w:tblGrid>
            <w:gridCol w:w="2659.2539601430763"/>
            <w:gridCol w:w="2128.3597342871744"/>
            <w:gridCol w:w="1468.3290751149718"/>
            <w:gridCol w:w="3104.0572304547777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Concern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Common Appearance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Typical Trigger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Treatment Considerations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Sun Spots / Lentigines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Isolated brown spots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UV damage / aging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Often respond well to pigment-focused laser/light treatments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Freckles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Multiple small brown spots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Genetics + sun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May improve but can recur with sun exposure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Post-Inflammatory Hyperpigmentation (PIH)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Brown discoloration after irritation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Acne, trauma, heat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Treat cautiously and address inflammation first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Melasma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Symmetrical patchy brown/gray pigment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Hormones, heat, sun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High recurrence risk. Use caution. Often requires multi-modal approach</w:t>
            </w:r>
          </w:p>
        </w:tc>
      </w:tr>
    </w:tbl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cdk1bnq3ac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Melasma Red Flags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Symmetrical facial patches</w:t>
        <w:br w:type="textWrapping"/>
        <w:t xml:space="preserve"> ☐ History of recurrence</w:t>
        <w:br w:type="textWrapping"/>
        <w:t xml:space="preserve"> ☐ Worsens with heat or sun</w:t>
        <w:br w:type="textWrapping"/>
        <w:t xml:space="preserve"> ☐ Hormonal history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sy9eejus7u5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Provider Reminder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Just because it is brown does not mean it is a pigment laser candidate.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1mv07iyyk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Golden Rule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Diagnose thoughtfully, treat conservatively.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