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1ntw1cpjy85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LHR Hair Removal Parameter Guide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Katica Advanced Aesthetics | Quick Reference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9j482sxt8vu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Always Consider: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i8mpw4gofdz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Fitzpatrick Type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Lower competing melanin = often more aggressive options</w:t>
        <w:br w:type="textWrapping"/>
        <w:t xml:space="preserve"> Higher competing melanin = more caution + epidermal protection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dh96f71m40z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Hair Type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Dark coarse hair = best candidate</w:t>
        <w:br w:type="textWrapping"/>
        <w:t xml:space="preserve"> Fine hair = may require modified expectations</w:t>
        <w:br w:type="textWrapping"/>
        <w:t xml:space="preserve"> Light / gray hair = often limited response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p3wftoxezt7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Treatment Area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Face = more caution / hormonal influence possible</w:t>
        <w:br w:type="textWrapping"/>
        <w:t xml:space="preserve"> Underarms = dense hair, often responsive</w:t>
        <w:br w:type="textWrapping"/>
        <w:t xml:space="preserve"> Legs = larger area, consistency matters</w:t>
        <w:br w:type="textWrapping"/>
        <w:t xml:space="preserve"> Bikini = coarse hair, comfort management important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qkeygom9smr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Cooling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cooling to improve comfort and protect epidermis.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b5jp2vw7wwk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Start Smart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safe effective settings and adjust based on response.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mkd4xmdusf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Provider Questions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am I targeting?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much competing pigment is present?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the client tanned?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endpoint am I seeking?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safest today?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roz1fjk1eu0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Golden Rule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Consistency beats aggression.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