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7z5gdfuj6y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Final Practical Evaluation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14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59an1sw1ua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Student Name: 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</w:t>
        <w:br w:type="textWrapping"/>
        <w:t xml:space="preserve"> Evaluator: _______________________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ij5ffkflzo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Practical Treatment Performed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Hair Removal</w:t>
        <w:br w:type="textWrapping"/>
        <w:t xml:space="preserve"> ☐ Pigment</w:t>
        <w:br w:type="textWrapping"/>
        <w:t xml:space="preserve"> ☐ Vascular</w:t>
        <w:br w:type="textWrapping"/>
        <w:t xml:space="preserve"> ☐ Rejuvenation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8crjtnyq32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Skills Evaluation</w:t>
      </w:r>
    </w:p>
    <w:tbl>
      <w:tblPr>
        <w:tblStyle w:val="Table1"/>
        <w:tblW w:w="4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0"/>
        <w:gridCol w:w="1385"/>
        <w:tblGridChange w:id="0">
          <w:tblGrid>
            <w:gridCol w:w="3470"/>
            <w:gridCol w:w="13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 (1–5)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Consultation &amp; Contraindications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Room Setup &amp; 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Device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Parameter Selection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Technical Treatment Skill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Recognition of Endpoints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Client 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Documentation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Professionalism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Overall Confidence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te6zrqbp4n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Strengths Observed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030ydid7phw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Growth Opportunities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03gyr3wy51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Result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Pass</w:t>
        <w:br w:type="textWrapping"/>
        <w:t xml:space="preserve"> ☐ Needs Additional Coaching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Evaluator Signature: 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