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b w:val="1"/>
          <w:bCs w:val="1"/>
          <w:sz w:val="46"/>
          <w:szCs w:val="46"/>
        </w:rPr>
      </w:pPr>
      <w:bookmarkStart w:colFirst="0" w:colLast="0" w:name="_1nr4jqldsfv6" w:id="0"/>
      <w:bookmarkEnd w:id="0"/>
      <w:r w:rsidDel="00000000" w:rsidR="00000000" w:rsidRPr="00000000">
        <w:rPr>
          <w:b w:val="1"/>
          <w:bCs w:val="1"/>
          <w:sz w:val="46"/>
          <w:szCs w:val="46"/>
          <w:rtl w:val="0"/>
        </w:rPr>
        <w:t xml:space="preserve">Clinical Endpoints Guide – Hair Removal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Katica Advanced Aesthetics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n2z35l7yfni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Desired Endpoints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✅ Mild perifollicular edema</w:t>
        <w:br w:type="textWrapping"/>
        <w:t xml:space="preserve"> ✅ Mild perifollicular erythema</w:t>
        <w:br w:type="textWrapping"/>
        <w:t xml:space="preserve"> ✅ Warmth without excessive discomfort</w:t>
        <w:br w:type="textWrapping"/>
        <w:t xml:space="preserve"> ✅ Occasional hair singe smell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ih2y0dppn55o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Signs to Pause / Reassess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⚠️ Sharp pain beyond expectation</w:t>
        <w:br w:type="textWrapping"/>
        <w:t xml:space="preserve"> ⚠️ Excess redness rapidly spreading</w:t>
        <w:br w:type="textWrapping"/>
        <w:t xml:space="preserve"> ⚠️ Gray or white tissue response</w:t>
        <w:br w:type="textWrapping"/>
        <w:t xml:space="preserve"> ⚠️ Blistering</w:t>
        <w:br w:type="textWrapping"/>
        <w:t xml:space="preserve"> ⚠️ Client unable to tolerate treatment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muxujs3n1aih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Technique Reminders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Maintain even overlap</w:t>
        <w:br w:type="textWrapping"/>
        <w:t xml:space="preserve"> ☐ Keep steady hand speed</w:t>
        <w:br w:type="textWrapping"/>
        <w:t xml:space="preserve"> ☐ Full contact if required by device</w:t>
        <w:br w:type="textWrapping"/>
        <w:t xml:space="preserve"> ☐ Communicate throughout treatment</w:t>
        <w:br w:type="textWrapping"/>
        <w:t xml:space="preserve"> ☐ Watch skin after every pass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klttgampja6r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Golden Rule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Watch the skin, not just the screen.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  <w:t xml:space="preserve">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